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4D5012" w:rsidRDefault="00A277B7" w:rsidP="00A277B7">
      <w:pPr>
        <w:jc w:val="both"/>
        <w:rPr>
          <w:rFonts w:ascii="Trebuchet MS" w:hAnsi="Trebuchet MS" w:cs="Arial"/>
          <w:sz w:val="22"/>
          <w:szCs w:val="22"/>
        </w:rPr>
      </w:pPr>
      <w:r w:rsidRPr="004D5012">
        <w:rPr>
          <w:rFonts w:ascii="Trebuchet MS" w:hAnsi="Trebuchet MS" w:cs="Arial"/>
          <w:sz w:val="22"/>
          <w:szCs w:val="22"/>
        </w:rPr>
        <w:t xml:space="preserve">Anexa 5 - Anunţul privind examenul de promovare </w:t>
      </w:r>
      <w:r w:rsidR="001C34AC" w:rsidRPr="004D5012">
        <w:rPr>
          <w:rFonts w:ascii="Trebuchet MS" w:hAnsi="Trebuchet MS" w:cs="Arial"/>
          <w:sz w:val="22"/>
          <w:szCs w:val="22"/>
        </w:rPr>
        <w:t>î</w:t>
      </w:r>
      <w:r w:rsidRPr="004D5012">
        <w:rPr>
          <w:rFonts w:ascii="Trebuchet MS" w:hAnsi="Trebuchet MS" w:cs="Arial"/>
          <w:sz w:val="22"/>
          <w:szCs w:val="22"/>
        </w:rPr>
        <w:t xml:space="preserve">n grad </w:t>
      </w:r>
      <w:r w:rsidR="001C34AC" w:rsidRPr="004D5012">
        <w:rPr>
          <w:rFonts w:ascii="Trebuchet MS" w:hAnsi="Trebuchet MS" w:cs="Arial"/>
          <w:sz w:val="22"/>
          <w:szCs w:val="22"/>
        </w:rPr>
        <w:t>profesional</w:t>
      </w:r>
      <w:r w:rsidRPr="004D5012">
        <w:rPr>
          <w:rFonts w:ascii="Trebuchet MS" w:hAnsi="Trebuchet MS" w:cs="Arial"/>
          <w:sz w:val="22"/>
          <w:szCs w:val="22"/>
        </w:rPr>
        <w:t xml:space="preserve"> </w:t>
      </w:r>
    </w:p>
    <w:p w14:paraId="5FC8A242" w14:textId="77777777" w:rsidR="001C34AC" w:rsidRPr="004D5012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4D5012">
        <w:rPr>
          <w:rFonts w:ascii="Trebuchet MS" w:hAnsi="Trebuchet MS" w:cs="Arial"/>
          <w:sz w:val="22"/>
          <w:szCs w:val="22"/>
        </w:rPr>
        <w:t>cod F-RU-67</w:t>
      </w:r>
    </w:p>
    <w:p w14:paraId="260D5949" w14:textId="30F7B577" w:rsidR="00A277B7" w:rsidRPr="004D5012" w:rsidRDefault="00D06D19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277B7" w:rsidRPr="004D5012">
        <w:rPr>
          <w:rFonts w:ascii="Trebuchet MS" w:hAnsi="Trebuchet MS" w:cs="Arial"/>
          <w:b/>
          <w:sz w:val="22"/>
          <w:szCs w:val="22"/>
        </w:rPr>
        <w:t>Se aprob</w:t>
      </w:r>
      <w:r w:rsidR="00EF6883" w:rsidRPr="004D5012">
        <w:rPr>
          <w:rFonts w:ascii="Trebuchet MS" w:hAnsi="Trebuchet MS" w:cs="Arial"/>
          <w:b/>
          <w:sz w:val="22"/>
          <w:szCs w:val="22"/>
        </w:rPr>
        <w:t>ă</w:t>
      </w:r>
      <w:r w:rsidR="00A277B7" w:rsidRPr="004D5012">
        <w:rPr>
          <w:rFonts w:ascii="Trebuchet MS" w:hAnsi="Trebuchet MS" w:cs="Arial"/>
          <w:b/>
          <w:sz w:val="22"/>
          <w:szCs w:val="22"/>
        </w:rPr>
        <w:t>,</w:t>
      </w:r>
    </w:p>
    <w:p w14:paraId="69270DC0" w14:textId="0F192003" w:rsidR="00A277B7" w:rsidRPr="004D5012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4D5012">
        <w:rPr>
          <w:rFonts w:ascii="Trebuchet MS" w:hAnsi="Trebuchet MS" w:cs="Arial"/>
          <w:b/>
          <w:sz w:val="22"/>
          <w:szCs w:val="22"/>
        </w:rPr>
        <w:t>D</w:t>
      </w:r>
      <w:r w:rsidR="001C34AC" w:rsidRPr="004D5012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r w:rsidRPr="004D5012">
        <w:rPr>
          <w:rFonts w:ascii="Trebuchet MS" w:hAnsi="Trebuchet MS" w:cs="Arial"/>
          <w:bCs/>
          <w:sz w:val="22"/>
          <w:szCs w:val="22"/>
        </w:rPr>
        <w:t>Drd. ing. ec. Relu ADAM</w:t>
      </w:r>
    </w:p>
    <w:p w14:paraId="0724C181" w14:textId="77777777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4D5012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4D5012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4D5012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Bazinală de Apă Siret </w:t>
      </w:r>
      <w:r w:rsidRPr="004D5012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4D5012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D5012">
        <w:rPr>
          <w:rFonts w:ascii="Trebuchet MS" w:hAnsi="Trebuchet MS" w:cs="Arial"/>
          <w:sz w:val="22"/>
          <w:szCs w:val="22"/>
          <w:lang w:val="ro-RO"/>
        </w:rPr>
        <w:t>profesional</w:t>
      </w:r>
      <w:r w:rsidRPr="004D5012">
        <w:rPr>
          <w:rFonts w:ascii="Trebuchet MS" w:hAnsi="Trebuchet MS" w:cs="Arial"/>
          <w:sz w:val="22"/>
          <w:szCs w:val="22"/>
          <w:lang w:val="fr-FR"/>
        </w:rPr>
        <w:t>, după cum urmează:</w:t>
      </w:r>
    </w:p>
    <w:p w14:paraId="3FD02ACB" w14:textId="450144DF" w:rsidR="00A277B7" w:rsidRPr="004D5012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Promovarea salariat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ului</w:t>
      </w:r>
      <w:r w:rsidR="009F6F6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                                               </w:t>
      </w:r>
      <w:r w:rsidR="008941D2">
        <w:rPr>
          <w:rFonts w:ascii="Trebuchet MS" w:hAnsi="Trebuchet MS" w:cs="Arial"/>
          <w:b/>
          <w:bCs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Pr="008941D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vând funcția de </w:t>
      </w:r>
      <w:r w:rsidR="0055673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hidrolog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55673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Hidrologie Bacău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, ABA Siret – sediu,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</w:t>
      </w:r>
      <w:r w:rsidR="00BF106D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II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în gradul I</w:t>
      </w:r>
      <w:r w:rsidRPr="004D5012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4ADB8C59" w14:textId="3F6E016E" w:rsidR="00ED165B" w:rsidRPr="004D5012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4D5012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aib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cel ptuțin 3 (trei) ani vechime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n gradul profesional al func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iei publice din care promoveaz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4D5012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fi ob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inut calificativul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“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foarte bine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 w:rsidRPr="004D5012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in de dou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ultimii 3 ani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acesta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3A4BA09B" w14:textId="5375A080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Calendarul examenului de promovare:</w:t>
      </w:r>
      <w:r w:rsidR="008851B0"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7117AD43" w:rsidR="00ED165B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Depunerea dosarelor 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–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5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6E5CCA9A" w14:textId="3701609B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Selecția dosarelor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3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2CB14A57" w14:textId="25E389F0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 contestații – 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5CCC9156" w14:textId="2806BC7E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contestații selecție dosare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7D4D62C3" w14:textId="0D55AFED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Proba scrisă de promovare – 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/>
          <w:sz w:val="22"/>
          <w:szCs w:val="22"/>
          <w:lang w:val="es-ES"/>
        </w:rPr>
        <w:t>9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.2025 – ora 1</w:t>
      </w:r>
      <w:r w:rsidR="00556736">
        <w:rPr>
          <w:rFonts w:ascii="Trebuchet MS" w:hAnsi="Trebuchet MS" w:cs="Arial"/>
          <w:b/>
          <w:sz w:val="22"/>
          <w:szCs w:val="22"/>
          <w:lang w:val="es-ES"/>
        </w:rPr>
        <w:t>0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0043C5F8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probă scrisă – 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20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4A5AC22A" w14:textId="1B614C77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 contestații probă scrisă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3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144E3BBC" w14:textId="08B045BF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finale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4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.2025.</w:t>
      </w:r>
    </w:p>
    <w:p w14:paraId="3629FB99" w14:textId="77777777" w:rsidR="00BB7D57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Dosarul de concurs se depune de către candidați la sediul ABA Siret, </w:t>
      </w:r>
    </w:p>
    <w:p w14:paraId="587ADA71" w14:textId="71E820B4" w:rsidR="008F5832" w:rsidRPr="004D5012" w:rsidRDefault="00EF6883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 termen de 5 zile de la data afișării anunțul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ui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pe site (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EA2173">
        <w:rPr>
          <w:rFonts w:ascii="Trebuchet MS" w:hAnsi="Trebuchet MS" w:cs="Arial"/>
          <w:bCs/>
          <w:sz w:val="22"/>
          <w:szCs w:val="22"/>
          <w:lang w:val="es-ES"/>
        </w:rPr>
        <w:t>5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EA2173">
        <w:rPr>
          <w:rFonts w:ascii="Trebuchet MS" w:hAnsi="Trebuchet MS" w:cs="Arial"/>
          <w:bCs/>
          <w:sz w:val="22"/>
          <w:szCs w:val="22"/>
          <w:lang w:val="es-ES"/>
        </w:rPr>
        <w:t>12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="00314833"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) și trebuie să conțină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mod obligatoriu documentele care fac dovada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rii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condițiilor prevăzute la art.72, alin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Adeverințe eliberate de angajatori din care să reias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vechimea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gradul sau treapta profesional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promoveaz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1D502BE3" w14:textId="1E29F249" w:rsidR="007757EC" w:rsidRDefault="007757E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314833">
        <w:rPr>
          <w:rFonts w:ascii="Trebuchet MS" w:hAnsi="Trebuchet MS"/>
          <w:b/>
          <w:sz w:val="22"/>
          <w:szCs w:val="22"/>
          <w:u w:val="single"/>
          <w:lang w:val="pt-BR"/>
        </w:rPr>
        <w:t>BIBLIOGRAFIE</w:t>
      </w:r>
    </w:p>
    <w:p w14:paraId="49CEE22A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INHGA – Îndrumar pentru prelucrarea datelor de la stațiile hidrometrice pe râuri,   2017.</w:t>
      </w:r>
    </w:p>
    <w:p w14:paraId="20C7520E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INHGA – Îndrumar pentru activitatea stațiilor hidrometrice pe râuri,  2014</w:t>
      </w:r>
    </w:p>
    <w:p w14:paraId="19A3B309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lastRenderedPageBreak/>
        <w:t>INHGA – Îndrumar pentru prelucrarea datelor din rețeaua de bazine experimentale și reprezentative,   2017</w:t>
      </w:r>
    </w:p>
    <w:p w14:paraId="381832D7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Giurma I. – Viituri și m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suri de ap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rare, Ed. Gh. Asachi, Iași, 2003</w:t>
      </w:r>
    </w:p>
    <w:p w14:paraId="13634264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INMH – Instrucțiuni pentru stațiile și serviciile hidrologice. Debite de ap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 xml:space="preserve"> și aluviuni, București, 1997</w:t>
      </w:r>
    </w:p>
    <w:p w14:paraId="61F6B976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Șel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rescu M., Podani, M. – Ap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rarea împotriva inundațiilor, Editura Tehnic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, București, 1993</w:t>
      </w:r>
    </w:p>
    <w:p w14:paraId="5135DA7A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Vladimirescu I – Hidrologie, Editura Didactic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 xml:space="preserve"> și Pedagogic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, București, 1979</w:t>
      </w:r>
    </w:p>
    <w:p w14:paraId="1A0B68C4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***Atlasul Cadastrului Apelor din România, vol. I, 1992.</w:t>
      </w:r>
    </w:p>
    <w:p w14:paraId="42BEF700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***Directiva Cadru 2000/60/CE</w:t>
      </w:r>
    </w:p>
    <w:p w14:paraId="3316A600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***Directiva Inundatii 2007/60/CE privind evaluarea și gestionarea riscului de inundații.</w:t>
      </w:r>
    </w:p>
    <w:p w14:paraId="06EB102A" w14:textId="77777777" w:rsidR="00FD5908" w:rsidRPr="00FF0ADE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>***Legea apelor 107/1996 cu modific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 xml:space="preserve">rile 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ş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i complet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ă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 xml:space="preserve">rile ulterioare </w:t>
      </w:r>
    </w:p>
    <w:p w14:paraId="02D7DDA6" w14:textId="77777777" w:rsidR="00FD5908" w:rsidRDefault="00FD5908" w:rsidP="00FD5908">
      <w:pPr>
        <w:pStyle w:val="ListParagraph"/>
        <w:numPr>
          <w:ilvl w:val="0"/>
          <w:numId w:val="12"/>
        </w:numPr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FF0ADE">
        <w:rPr>
          <w:rFonts w:ascii="Trebuchet MS" w:hAnsi="Trebuchet MS" w:cs="Arial"/>
          <w:bCs/>
          <w:sz w:val="22"/>
          <w:szCs w:val="22"/>
          <w:lang w:val="es-ES"/>
        </w:rPr>
        <w:t xml:space="preserve">***Legea nr. 112 din 4 mai 2006 pentru modificarea </w:t>
      </w:r>
      <w:r w:rsidRPr="00FF0ADE">
        <w:rPr>
          <w:rFonts w:ascii="Trebuchet MS" w:hAnsi="Trebuchet MS" w:cs="Arial" w:hint="eastAsia"/>
          <w:bCs/>
          <w:sz w:val="22"/>
          <w:szCs w:val="22"/>
          <w:lang w:val="es-ES"/>
        </w:rPr>
        <w:t>ş</w:t>
      </w:r>
      <w:r w:rsidRPr="00FF0ADE">
        <w:rPr>
          <w:rFonts w:ascii="Trebuchet MS" w:hAnsi="Trebuchet MS" w:cs="Arial"/>
          <w:bCs/>
          <w:sz w:val="22"/>
          <w:szCs w:val="22"/>
          <w:lang w:val="es-ES"/>
        </w:rPr>
        <w:t>i completarea Legii apelor</w:t>
      </w:r>
    </w:p>
    <w:p w14:paraId="1DA8BD34" w14:textId="77777777" w:rsidR="00BB7D57" w:rsidRPr="00661C0C" w:rsidRDefault="00BB7D57" w:rsidP="00314833">
      <w:pPr>
        <w:ind w:firstLine="720"/>
        <w:jc w:val="both"/>
        <w:rPr>
          <w:rFonts w:ascii="Trebuchet MS" w:hAnsi="Trebuchet MS"/>
          <w:bCs/>
          <w:sz w:val="22"/>
          <w:szCs w:val="22"/>
          <w:lang w:val="pt-BR"/>
        </w:rPr>
      </w:pPr>
    </w:p>
    <w:p w14:paraId="10F146D0" w14:textId="25260857" w:rsidR="007757EC" w:rsidRPr="00661C0C" w:rsidRDefault="007757EC" w:rsidP="00314833">
      <w:pPr>
        <w:ind w:firstLine="720"/>
        <w:jc w:val="both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661C0C">
        <w:rPr>
          <w:rFonts w:ascii="Trebuchet MS" w:hAnsi="Trebuchet MS"/>
          <w:b/>
          <w:sz w:val="22"/>
          <w:szCs w:val="22"/>
          <w:u w:val="single"/>
          <w:lang w:val="pt-BR"/>
        </w:rPr>
        <w:t>TEMATIC</w:t>
      </w:r>
      <w:r w:rsidR="00661C0C">
        <w:rPr>
          <w:rFonts w:ascii="Trebuchet MS" w:hAnsi="Trebuchet MS"/>
          <w:b/>
          <w:sz w:val="22"/>
          <w:szCs w:val="22"/>
          <w:u w:val="single"/>
          <w:lang w:val="pt-BR"/>
        </w:rPr>
        <w:t>Ă</w:t>
      </w:r>
    </w:p>
    <w:p w14:paraId="7D0A9428" w14:textId="77777777" w:rsidR="00FD5908" w:rsidRPr="00FF0ADE" w:rsidRDefault="00FD5908" w:rsidP="00FD5908">
      <w:pPr>
        <w:numPr>
          <w:ilvl w:val="0"/>
          <w:numId w:val="13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Hidrometria râurilor:</w:t>
      </w:r>
    </w:p>
    <w:p w14:paraId="19E2B686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Observatii asupra nivelurilor</w:t>
      </w:r>
    </w:p>
    <w:p w14:paraId="2980ED0D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 xml:space="preserve">Masurarea debitelor lichide si de aluviuni in suspensie </w:t>
      </w:r>
    </w:p>
    <w:p w14:paraId="5212D24E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Masurarea temperaturii apei si aerului</w:t>
      </w:r>
    </w:p>
    <w:p w14:paraId="371AD839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Masurarea precipitaţiilor lichide şi solide</w:t>
      </w:r>
    </w:p>
    <w:p w14:paraId="1BE5CD0A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Măsurători asupra stratului de zăpadă</w:t>
      </w:r>
    </w:p>
    <w:p w14:paraId="59F7B34D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Determinări asupra colmatării albiilor și lacurilor</w:t>
      </w:r>
    </w:p>
    <w:p w14:paraId="0EA6736F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Ridicări topometrice: profile transversal, planuri de situaţie</w:t>
      </w:r>
    </w:p>
    <w:p w14:paraId="22A7105D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Colectarea şi transmiterea informaţiilor hidrometeorologice. Fluxul normal şi fluxul de alertă.</w:t>
      </w:r>
    </w:p>
    <w:p w14:paraId="7E2B8B9C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Modul de reprezentare a datelor măsurate și prelucrate</w:t>
      </w:r>
    </w:p>
    <w:p w14:paraId="6797D8FB" w14:textId="77777777" w:rsidR="00FD5908" w:rsidRPr="00FF0ADE" w:rsidRDefault="00FD5908" w:rsidP="00FD5908">
      <w:pPr>
        <w:numPr>
          <w:ilvl w:val="0"/>
          <w:numId w:val="14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 xml:space="preserve">Trasarea cheilor limnimetrice </w:t>
      </w:r>
    </w:p>
    <w:p w14:paraId="476BF205" w14:textId="77777777" w:rsidR="00FD5908" w:rsidRPr="00FF0ADE" w:rsidRDefault="00FD5908" w:rsidP="00FD5908">
      <w:pPr>
        <w:numPr>
          <w:ilvl w:val="0"/>
          <w:numId w:val="13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 xml:space="preserve">Elemente legate de bazinul hidrografic și rețeaua hidrografică: </w:t>
      </w:r>
    </w:p>
    <w:p w14:paraId="133085AE" w14:textId="77777777" w:rsidR="00FD5908" w:rsidRPr="00FF0ADE" w:rsidRDefault="00FD5908" w:rsidP="00FD5908">
      <w:pPr>
        <w:numPr>
          <w:ilvl w:val="0"/>
          <w:numId w:val="15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Cadastrul apelor</w:t>
      </w:r>
    </w:p>
    <w:p w14:paraId="47853236" w14:textId="77777777" w:rsidR="00FD5908" w:rsidRPr="00FF0ADE" w:rsidRDefault="00FD5908" w:rsidP="00FD5908">
      <w:pPr>
        <w:numPr>
          <w:ilvl w:val="0"/>
          <w:numId w:val="16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Forma și dimensiunile bazinului hidrografic</w:t>
      </w:r>
    </w:p>
    <w:p w14:paraId="5BE41ED4" w14:textId="77777777" w:rsidR="00FD5908" w:rsidRPr="00FF0ADE" w:rsidRDefault="00FD5908" w:rsidP="00FD5908">
      <w:pPr>
        <w:numPr>
          <w:ilvl w:val="0"/>
          <w:numId w:val="16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Caracteristicile morfografice și morfometrice ale bazinului hidrografic</w:t>
      </w:r>
    </w:p>
    <w:p w14:paraId="597F835B" w14:textId="77777777" w:rsidR="00FD5908" w:rsidRPr="00FF0ADE" w:rsidRDefault="00FD5908" w:rsidP="00FD5908">
      <w:pPr>
        <w:numPr>
          <w:ilvl w:val="0"/>
          <w:numId w:val="16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Densitatea rețelei hidrografice</w:t>
      </w:r>
    </w:p>
    <w:p w14:paraId="0BDF19D2" w14:textId="77777777" w:rsidR="00FD5908" w:rsidRPr="00FF0ADE" w:rsidRDefault="00FD5908" w:rsidP="00FD5908">
      <w:pPr>
        <w:numPr>
          <w:ilvl w:val="0"/>
          <w:numId w:val="13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Impactul antropic asupra resurselor de apă:</w:t>
      </w:r>
    </w:p>
    <w:p w14:paraId="08EE4603" w14:textId="77777777" w:rsidR="00FD5908" w:rsidRPr="00FF0ADE" w:rsidRDefault="00FD5908" w:rsidP="00FD5908">
      <w:pPr>
        <w:numPr>
          <w:ilvl w:val="0"/>
          <w:numId w:val="17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Amenajarea cursurilor de apă și a bazinelor hidrografice</w:t>
      </w:r>
    </w:p>
    <w:p w14:paraId="3800A7D3" w14:textId="77777777" w:rsidR="00FD5908" w:rsidRPr="00FF0ADE" w:rsidRDefault="00FD5908" w:rsidP="00FD5908">
      <w:pPr>
        <w:numPr>
          <w:ilvl w:val="0"/>
          <w:numId w:val="17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Folosințele de apă</w:t>
      </w:r>
    </w:p>
    <w:p w14:paraId="0C330F1D" w14:textId="77777777" w:rsidR="00FD5908" w:rsidRPr="00FF0ADE" w:rsidRDefault="00FD5908" w:rsidP="00FD5908">
      <w:pPr>
        <w:numPr>
          <w:ilvl w:val="0"/>
          <w:numId w:val="17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Reconstituirea regimului natural de scurgere</w:t>
      </w:r>
    </w:p>
    <w:p w14:paraId="1DD78DA0" w14:textId="77777777" w:rsidR="00FD5908" w:rsidRPr="00FF0ADE" w:rsidRDefault="00FD5908" w:rsidP="00FD5908">
      <w:pPr>
        <w:numPr>
          <w:ilvl w:val="0"/>
          <w:numId w:val="17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Valorificarea resurselor de apă</w:t>
      </w:r>
    </w:p>
    <w:p w14:paraId="7160EE8A" w14:textId="77777777" w:rsidR="00FD5908" w:rsidRPr="00FF0ADE" w:rsidRDefault="00FD5908" w:rsidP="00FD5908">
      <w:pPr>
        <w:numPr>
          <w:ilvl w:val="0"/>
          <w:numId w:val="13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Inundațiile. Gestionarea inundațiilor:</w:t>
      </w:r>
    </w:p>
    <w:p w14:paraId="2EAC25E9" w14:textId="77777777" w:rsidR="00FD5908" w:rsidRPr="00FF0ADE" w:rsidRDefault="00FD5908" w:rsidP="00FD5908">
      <w:pPr>
        <w:numPr>
          <w:ilvl w:val="0"/>
          <w:numId w:val="18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Cauzele inundațiilor</w:t>
      </w:r>
    </w:p>
    <w:p w14:paraId="1D372633" w14:textId="77777777" w:rsidR="00FD5908" w:rsidRPr="00FF0ADE" w:rsidRDefault="00FD5908" w:rsidP="00FD5908">
      <w:pPr>
        <w:numPr>
          <w:ilvl w:val="0"/>
          <w:numId w:val="18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Efectele negative și pagubele provocate de inundații</w:t>
      </w:r>
    </w:p>
    <w:p w14:paraId="67C14219" w14:textId="77777777" w:rsidR="00FD5908" w:rsidRPr="00FF0ADE" w:rsidRDefault="00FD5908" w:rsidP="00FD5908">
      <w:pPr>
        <w:numPr>
          <w:ilvl w:val="0"/>
          <w:numId w:val="18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Măsuri structurale și nestructurale de apărare</w:t>
      </w:r>
    </w:p>
    <w:p w14:paraId="7C11B589" w14:textId="77777777" w:rsidR="00FD5908" w:rsidRPr="00FF0ADE" w:rsidRDefault="00FD5908" w:rsidP="00FD5908">
      <w:pPr>
        <w:numPr>
          <w:ilvl w:val="0"/>
          <w:numId w:val="13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Legislație:</w:t>
      </w:r>
    </w:p>
    <w:p w14:paraId="4E6E3DA8" w14:textId="77777777" w:rsidR="00FD5908" w:rsidRPr="00FF0ADE" w:rsidRDefault="00FD5908" w:rsidP="00FD5908">
      <w:pPr>
        <w:numPr>
          <w:ilvl w:val="0"/>
          <w:numId w:val="19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 xml:space="preserve">Directiva cadru 2000/60/CE </w:t>
      </w:r>
    </w:p>
    <w:p w14:paraId="76403DA7" w14:textId="77777777" w:rsidR="00FD5908" w:rsidRPr="00FF0ADE" w:rsidRDefault="00FD5908" w:rsidP="00FD5908">
      <w:pPr>
        <w:numPr>
          <w:ilvl w:val="0"/>
          <w:numId w:val="19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 xml:space="preserve">Directiva inundatii 2007/60/CE privind evaluarea și gestionarea riscului de inundații </w:t>
      </w:r>
    </w:p>
    <w:p w14:paraId="198A37E4" w14:textId="77777777" w:rsidR="00FD5908" w:rsidRPr="00FF0ADE" w:rsidRDefault="00FD5908" w:rsidP="00FD5908">
      <w:pPr>
        <w:numPr>
          <w:ilvl w:val="0"/>
          <w:numId w:val="19"/>
        </w:numPr>
        <w:ind w:left="709" w:hanging="357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 xml:space="preserve">Legea apelor 107/1996 cu modificările şi completările ulterioare </w:t>
      </w:r>
    </w:p>
    <w:p w14:paraId="668EE1FE" w14:textId="77777777" w:rsidR="00FD5908" w:rsidRDefault="00FD5908" w:rsidP="00FD5908">
      <w:pPr>
        <w:numPr>
          <w:ilvl w:val="0"/>
          <w:numId w:val="19"/>
        </w:numPr>
        <w:ind w:left="709" w:hanging="284"/>
        <w:jc w:val="both"/>
        <w:rPr>
          <w:rFonts w:ascii="Trebuchet MS" w:hAnsi="Trebuchet MS" w:cstheme="minorHAnsi"/>
          <w:sz w:val="22"/>
          <w:szCs w:val="22"/>
        </w:rPr>
      </w:pPr>
      <w:r w:rsidRPr="00FF0ADE">
        <w:rPr>
          <w:rFonts w:ascii="Trebuchet MS" w:hAnsi="Trebuchet MS" w:cstheme="minorHAnsi"/>
          <w:sz w:val="22"/>
          <w:szCs w:val="22"/>
        </w:rPr>
        <w:t>PL 43 Activitatea de colectare, transmisie, analiza și validare a datelor si informațiilor din rețeaua hidrometrică</w:t>
      </w:r>
    </w:p>
    <w:p w14:paraId="614AF903" w14:textId="77777777" w:rsidR="00BB7D57" w:rsidRPr="00661C0C" w:rsidRDefault="00BB7D57" w:rsidP="00FD5908">
      <w:pPr>
        <w:spacing w:line="276" w:lineRule="auto"/>
        <w:ind w:left="709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3FC83EF" w14:textId="3557AFEE" w:rsidR="00D13226" w:rsidRDefault="00D13226" w:rsidP="00D13226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ab/>
      </w:r>
      <w:r w:rsidR="001C34AC" w:rsidRPr="00EF6883">
        <w:rPr>
          <w:rFonts w:ascii="Trebuchet MS" w:hAnsi="Trebuchet MS" w:cs="Arial"/>
          <w:b/>
          <w:bCs/>
          <w:sz w:val="22"/>
          <w:szCs w:val="22"/>
        </w:rPr>
        <w:t>ȘEF SERVICIU R.U.R.P.A</w:t>
      </w:r>
      <w:r w:rsidR="001C34AC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    Secretar comisie de examinare</w:t>
      </w:r>
    </w:p>
    <w:p w14:paraId="795E24E3" w14:textId="304BB0C8" w:rsidR="00D13226" w:rsidRDefault="00D13226" w:rsidP="00D13226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  <w:t xml:space="preserve">    ing. Ioan TĂNASĂ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                                      ec. Emilia JIPA</w:t>
      </w:r>
    </w:p>
    <w:p w14:paraId="083A2B1D" w14:textId="2BBA1A18" w:rsidR="007757EC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</w:p>
    <w:sectPr w:rsidR="007757EC" w:rsidSect="00FD5908">
      <w:headerReference w:type="default" r:id="rId7"/>
      <w:footerReference w:type="default" r:id="rId8"/>
      <w:pgSz w:w="12240" w:h="15840"/>
      <w:pgMar w:top="1747" w:right="1041" w:bottom="1134" w:left="12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0781" w14:textId="77777777" w:rsidR="002F20C0" w:rsidRDefault="002F20C0" w:rsidP="001C34AC">
      <w:r>
        <w:separator/>
      </w:r>
    </w:p>
  </w:endnote>
  <w:endnote w:type="continuationSeparator" w:id="0">
    <w:p w14:paraId="3CC5EA56" w14:textId="77777777" w:rsidR="002F20C0" w:rsidRDefault="002F20C0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AC48" w14:textId="77777777" w:rsidR="002F20C0" w:rsidRDefault="002F20C0" w:rsidP="001C34AC">
      <w:r>
        <w:separator/>
      </w:r>
    </w:p>
  </w:footnote>
  <w:footnote w:type="continuationSeparator" w:id="0">
    <w:p w14:paraId="56DCC487" w14:textId="77777777" w:rsidR="002F20C0" w:rsidRDefault="002F20C0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51860388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15687059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12027099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41A52"/>
    <w:multiLevelType w:val="hybridMultilevel"/>
    <w:tmpl w:val="E6B2E3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B4"/>
    <w:multiLevelType w:val="hybridMultilevel"/>
    <w:tmpl w:val="BEF66B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806B0"/>
    <w:multiLevelType w:val="hybridMultilevel"/>
    <w:tmpl w:val="65EEDE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17559"/>
    <w:multiLevelType w:val="hybridMultilevel"/>
    <w:tmpl w:val="83E8BC1C"/>
    <w:lvl w:ilvl="0" w:tplc="25BE6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1BB9"/>
    <w:multiLevelType w:val="hybridMultilevel"/>
    <w:tmpl w:val="D82CBEEE"/>
    <w:lvl w:ilvl="0" w:tplc="C4E8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1056"/>
    <w:multiLevelType w:val="hybridMultilevel"/>
    <w:tmpl w:val="1BD62B40"/>
    <w:lvl w:ilvl="0" w:tplc="B0B004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51A4"/>
    <w:multiLevelType w:val="hybridMultilevel"/>
    <w:tmpl w:val="7E8E966A"/>
    <w:lvl w:ilvl="0" w:tplc="9F42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24D9E"/>
    <w:multiLevelType w:val="hybridMultilevel"/>
    <w:tmpl w:val="BFCA44C2"/>
    <w:lvl w:ilvl="0" w:tplc="2EA4A26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C52D1"/>
    <w:multiLevelType w:val="hybridMultilevel"/>
    <w:tmpl w:val="D1DA1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A6260"/>
    <w:multiLevelType w:val="hybridMultilevel"/>
    <w:tmpl w:val="7BD2C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20DF"/>
    <w:multiLevelType w:val="hybridMultilevel"/>
    <w:tmpl w:val="6B2E23D4"/>
    <w:lvl w:ilvl="0" w:tplc="622A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5BDB"/>
    <w:multiLevelType w:val="hybridMultilevel"/>
    <w:tmpl w:val="C0482B80"/>
    <w:lvl w:ilvl="0" w:tplc="EFAA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B049C8"/>
    <w:multiLevelType w:val="hybridMultilevel"/>
    <w:tmpl w:val="99B2BE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F841DA"/>
    <w:multiLevelType w:val="hybridMultilevel"/>
    <w:tmpl w:val="2086FB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FB560E"/>
    <w:multiLevelType w:val="hybridMultilevel"/>
    <w:tmpl w:val="B4883C7A"/>
    <w:lvl w:ilvl="0" w:tplc="25BE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B2CA6"/>
    <w:multiLevelType w:val="hybridMultilevel"/>
    <w:tmpl w:val="18249B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271FE2"/>
    <w:multiLevelType w:val="hybridMultilevel"/>
    <w:tmpl w:val="F9A83EE8"/>
    <w:lvl w:ilvl="0" w:tplc="13D06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447987">
    <w:abstractNumId w:val="0"/>
  </w:num>
  <w:num w:numId="2" w16cid:durableId="1077480109">
    <w:abstractNumId w:val="4"/>
  </w:num>
  <w:num w:numId="3" w16cid:durableId="350498663">
    <w:abstractNumId w:val="8"/>
  </w:num>
  <w:num w:numId="4" w16cid:durableId="811219374">
    <w:abstractNumId w:val="13"/>
  </w:num>
  <w:num w:numId="5" w16cid:durableId="1847549578">
    <w:abstractNumId w:val="7"/>
  </w:num>
  <w:num w:numId="6" w16cid:durableId="1465928078">
    <w:abstractNumId w:val="6"/>
  </w:num>
  <w:num w:numId="7" w16cid:durableId="890725928">
    <w:abstractNumId w:val="10"/>
  </w:num>
  <w:num w:numId="8" w16cid:durableId="885943934">
    <w:abstractNumId w:val="12"/>
  </w:num>
  <w:num w:numId="9" w16cid:durableId="1475440291">
    <w:abstractNumId w:val="9"/>
  </w:num>
  <w:num w:numId="10" w16cid:durableId="245923646">
    <w:abstractNumId w:val="5"/>
  </w:num>
  <w:num w:numId="11" w16cid:durableId="258563143">
    <w:abstractNumId w:val="16"/>
  </w:num>
  <w:num w:numId="12" w16cid:durableId="901789065">
    <w:abstractNumId w:val="11"/>
  </w:num>
  <w:num w:numId="13" w16cid:durableId="1151288222">
    <w:abstractNumId w:val="18"/>
  </w:num>
  <w:num w:numId="14" w16cid:durableId="349336480">
    <w:abstractNumId w:val="1"/>
  </w:num>
  <w:num w:numId="15" w16cid:durableId="1898316834">
    <w:abstractNumId w:val="15"/>
  </w:num>
  <w:num w:numId="16" w16cid:durableId="942683741">
    <w:abstractNumId w:val="2"/>
  </w:num>
  <w:num w:numId="17" w16cid:durableId="1116948743">
    <w:abstractNumId w:val="3"/>
  </w:num>
  <w:num w:numId="18" w16cid:durableId="745111231">
    <w:abstractNumId w:val="14"/>
  </w:num>
  <w:num w:numId="19" w16cid:durableId="3138756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64773"/>
    <w:rsid w:val="000713C1"/>
    <w:rsid w:val="001014AD"/>
    <w:rsid w:val="00113B73"/>
    <w:rsid w:val="00146337"/>
    <w:rsid w:val="00161EAE"/>
    <w:rsid w:val="00181B2C"/>
    <w:rsid w:val="001C34AC"/>
    <w:rsid w:val="001F739E"/>
    <w:rsid w:val="00244078"/>
    <w:rsid w:val="002F20C0"/>
    <w:rsid w:val="00314833"/>
    <w:rsid w:val="00330749"/>
    <w:rsid w:val="003C70C3"/>
    <w:rsid w:val="003F00C1"/>
    <w:rsid w:val="00476B2D"/>
    <w:rsid w:val="004D5012"/>
    <w:rsid w:val="00556736"/>
    <w:rsid w:val="0056249E"/>
    <w:rsid w:val="005B4845"/>
    <w:rsid w:val="005D39E7"/>
    <w:rsid w:val="005F1C38"/>
    <w:rsid w:val="005F6958"/>
    <w:rsid w:val="00647840"/>
    <w:rsid w:val="006565A3"/>
    <w:rsid w:val="00661C0C"/>
    <w:rsid w:val="00696333"/>
    <w:rsid w:val="006C25EA"/>
    <w:rsid w:val="006F35B0"/>
    <w:rsid w:val="007757EC"/>
    <w:rsid w:val="00795796"/>
    <w:rsid w:val="007B1D16"/>
    <w:rsid w:val="007B4C20"/>
    <w:rsid w:val="00817995"/>
    <w:rsid w:val="008552EA"/>
    <w:rsid w:val="008851B0"/>
    <w:rsid w:val="008941D2"/>
    <w:rsid w:val="008F5832"/>
    <w:rsid w:val="00911B8D"/>
    <w:rsid w:val="00922EE8"/>
    <w:rsid w:val="009E2214"/>
    <w:rsid w:val="009F6F62"/>
    <w:rsid w:val="00A277B7"/>
    <w:rsid w:val="00A30EF8"/>
    <w:rsid w:val="00A9476E"/>
    <w:rsid w:val="00B41DAD"/>
    <w:rsid w:val="00BB2E30"/>
    <w:rsid w:val="00BB7D57"/>
    <w:rsid w:val="00BF106D"/>
    <w:rsid w:val="00C5569F"/>
    <w:rsid w:val="00D06D19"/>
    <w:rsid w:val="00D13226"/>
    <w:rsid w:val="00E452C9"/>
    <w:rsid w:val="00E53AD7"/>
    <w:rsid w:val="00E82D7C"/>
    <w:rsid w:val="00EA2173"/>
    <w:rsid w:val="00EA6A6E"/>
    <w:rsid w:val="00ED165B"/>
    <w:rsid w:val="00EF6883"/>
    <w:rsid w:val="00F46C55"/>
    <w:rsid w:val="00F66D4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3</cp:revision>
  <cp:lastPrinted>2025-05-28T06:15:00Z</cp:lastPrinted>
  <dcterms:created xsi:type="dcterms:W3CDTF">2025-06-03T05:30:00Z</dcterms:created>
  <dcterms:modified xsi:type="dcterms:W3CDTF">2025-06-03T05:34:00Z</dcterms:modified>
</cp:coreProperties>
</file>